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7B" w:rsidRDefault="000C0BA5">
      <w:pPr>
        <w:pStyle w:val="Body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World Cafe: Integration of Faith, Learning and Practice</w:t>
      </w:r>
    </w:p>
    <w:p w:rsidR="00C9107B" w:rsidRDefault="000C0BA5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GFM National Staff Conference 2016</w:t>
      </w:r>
    </w:p>
    <w:p w:rsidR="00C9107B" w:rsidRDefault="00C9107B">
      <w:pPr>
        <w:pStyle w:val="Body"/>
      </w:pP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b/>
          <w:bCs/>
          <w:u w:color="4687FF"/>
        </w:rPr>
        <w:t>Description</w:t>
      </w:r>
      <w:r>
        <w:rPr>
          <w:u w:color="4687FF"/>
        </w:rPr>
        <w:t>: This World Cafe will be an opportunity to explore how GFM staff can encourage and guide students/faculty as followers of Jesus in all of life</w:t>
      </w:r>
      <w:r>
        <w:rPr>
          <w:u w:color="4687FF"/>
        </w:rPr>
        <w:t>—</w:t>
      </w:r>
      <w:r>
        <w:rPr>
          <w:u w:color="4687FF"/>
        </w:rPr>
        <w:t>especially in their teaching, scholarship, colleague-ship and institutional roles. We</w:t>
      </w:r>
      <w:r>
        <w:rPr>
          <w:u w:color="4687FF"/>
          <w:lang w:val="fr-FR"/>
        </w:rPr>
        <w:t>’</w:t>
      </w:r>
      <w:r>
        <w:rPr>
          <w:u w:color="4687FF"/>
        </w:rPr>
        <w:t>ll brainstorm ideas and share best practices about how to help grad students and faculty integrate their faith, learning, and practice.</w:t>
      </w:r>
    </w:p>
    <w:p w:rsidR="00C9107B" w:rsidRDefault="00C9107B">
      <w:pPr>
        <w:pStyle w:val="Default"/>
        <w:rPr>
          <w:b/>
          <w:bCs/>
          <w:u w:color="4687FF"/>
        </w:rPr>
      </w:pPr>
    </w:p>
    <w:p w:rsidR="00C9107B" w:rsidRDefault="00C9107B">
      <w:pPr>
        <w:pStyle w:val="Body"/>
        <w:rPr>
          <w:b/>
          <w:bCs/>
        </w:rPr>
      </w:pPr>
    </w:p>
    <w:p w:rsidR="00C9107B" w:rsidRDefault="000C0BA5">
      <w:pPr>
        <w:pStyle w:val="Body"/>
        <w:rPr>
          <w:b/>
          <w:bCs/>
        </w:rPr>
      </w:pPr>
      <w:r>
        <w:rPr>
          <w:b/>
          <w:bCs/>
        </w:rPr>
        <w:t>Readings:</w:t>
      </w:r>
    </w:p>
    <w:p w:rsidR="00C9107B" w:rsidRDefault="000C0BA5">
      <w:pPr>
        <w:pStyle w:val="Default"/>
        <w:rPr>
          <w:u w:color="4687FF"/>
        </w:rPr>
      </w:pPr>
      <w:r>
        <w:rPr>
          <w:i/>
          <w:iCs/>
          <w:u w:color="4687FF"/>
        </w:rPr>
        <w:t>Academics and Faith: O</w:t>
      </w:r>
      <w:r>
        <w:rPr>
          <w:i/>
          <w:iCs/>
          <w:u w:color="4687FF"/>
        </w:rPr>
        <w:t>ur InterView with Dr. Jay Green</w:t>
      </w:r>
      <w:r>
        <w:rPr>
          <w:u w:color="4687FF"/>
        </w:rPr>
        <w:t>, by Richard Doster, in byFaith: The Online Magazine of the Presbyterian Church in America, Jan. 21, 2015.</w:t>
      </w:r>
    </w:p>
    <w:p w:rsidR="00C9107B" w:rsidRDefault="00C9107B">
      <w:pPr>
        <w:pStyle w:val="Default"/>
        <w:rPr>
          <w:b/>
          <w:bCs/>
          <w:u w:color="4687FF"/>
        </w:rPr>
      </w:pPr>
    </w:p>
    <w:p w:rsidR="00C9107B" w:rsidRDefault="000C0BA5">
      <w:pPr>
        <w:pStyle w:val="Default"/>
        <w:rPr>
          <w:i/>
          <w:iCs/>
          <w:u w:color="4687FF"/>
        </w:rPr>
      </w:pPr>
      <w:r>
        <w:rPr>
          <w:i/>
          <w:iCs/>
          <w:u w:color="4687FF"/>
        </w:rPr>
        <w:t>What I wish my pastor knew . . . about the life of a scientist,</w:t>
      </w:r>
      <w:r>
        <w:rPr>
          <w:u w:color="4687FF"/>
        </w:rPr>
        <w:t xml:space="preserve"> by Andy Crouch, republished with permission from </w:t>
      </w:r>
      <w:r>
        <w:rPr>
          <w:i/>
          <w:iCs/>
          <w:u w:color="4687FF"/>
        </w:rPr>
        <w:t xml:space="preserve">The </w:t>
      </w:r>
      <w:r>
        <w:rPr>
          <w:i/>
          <w:iCs/>
          <w:u w:color="4687FF"/>
        </w:rPr>
        <w:t>Ministry Theorem.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i/>
          <w:iCs/>
          <w:u w:color="4687FF"/>
        </w:rPr>
        <w:t>Advice to those who would be Christian Scholars</w:t>
      </w:r>
      <w:r>
        <w:rPr>
          <w:u w:color="4687FF"/>
        </w:rPr>
        <w:t>, by Nicholas Wolterstorff, from Emerging Scholars Blog, August 7, 2012.</w:t>
      </w: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Body"/>
        <w:rPr>
          <w:u w:val="single"/>
        </w:rPr>
      </w:pPr>
    </w:p>
    <w:p w:rsidR="00C9107B" w:rsidRDefault="000C0BA5">
      <w:pPr>
        <w:pStyle w:val="Body"/>
        <w:rPr>
          <w:u w:val="single"/>
        </w:rPr>
      </w:pPr>
      <w:r>
        <w:rPr>
          <w:b/>
          <w:bCs/>
        </w:rPr>
        <w:t>Questions:</w:t>
      </w:r>
      <w:r>
        <w:rPr>
          <w:u w:val="single"/>
        </w:rPr>
        <w:t xml:space="preserve"> </w:t>
      </w:r>
    </w:p>
    <w:p w:rsidR="00C9107B" w:rsidRDefault="00C9107B">
      <w:pPr>
        <w:pStyle w:val="Body"/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1. Jay Green suggests that integration of faith and learning is not a one-way process (how does my fai</w:t>
      </w:r>
      <w:r>
        <w:rPr>
          <w:u w:color="4687FF"/>
        </w:rPr>
        <w:t xml:space="preserve">th inform and shape my scholarship and work?), but a 2-way process which includes allowing our work/scholarship to shape and inform our faith. How could we encourage grad students and faculty to not be </w:t>
      </w:r>
      <w:r>
        <w:rPr>
          <w:u w:color="4687FF"/>
        </w:rPr>
        <w:t>“</w:t>
      </w:r>
      <w:r>
        <w:rPr>
          <w:u w:color="4687FF"/>
        </w:rPr>
        <w:t>merely theologians of our crafts, but able and faithf</w:t>
      </w:r>
      <w:r>
        <w:rPr>
          <w:u w:color="4687FF"/>
        </w:rPr>
        <w:t>ul academic craftsmen who are determined to carry out the good work of our guilds as part of our service to God</w:t>
      </w:r>
      <w:r>
        <w:rPr>
          <w:u w:color="4687FF"/>
        </w:rPr>
        <w:t>’</w:t>
      </w:r>
      <w:r>
        <w:rPr>
          <w:u w:color="4687FF"/>
        </w:rPr>
        <w:t>s kingdom</w:t>
      </w:r>
      <w:r>
        <w:rPr>
          <w:u w:color="4687FF"/>
        </w:rPr>
        <w:t>”</w:t>
      </w:r>
      <w:r>
        <w:rPr>
          <w:u w:color="4687FF"/>
        </w:rPr>
        <w:t>?</w:t>
      </w: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2. How can we help students and faculty live as Christian scholars</w:t>
      </w:r>
      <w:r>
        <w:rPr>
          <w:u w:color="4687FF"/>
        </w:rPr>
        <w:t>—</w:t>
      </w:r>
      <w:r>
        <w:rPr>
          <w:u w:color="4687FF"/>
        </w:rPr>
        <w:t xml:space="preserve">in the words of Nicholas Wolterstorff: to </w:t>
      </w:r>
      <w:r>
        <w:rPr>
          <w:u w:color="4687FF"/>
        </w:rPr>
        <w:t>“</w:t>
      </w:r>
      <w:r>
        <w:rPr>
          <w:u w:color="4687FF"/>
        </w:rPr>
        <w:t xml:space="preserve">think with a </w:t>
      </w:r>
      <w:r>
        <w:rPr>
          <w:u w:color="4687FF"/>
        </w:rPr>
        <w:t>Christian mind and speak with a Christian voice within their chosen discipline and within the academy more generally</w:t>
      </w:r>
      <w:r>
        <w:rPr>
          <w:u w:color="4687FF"/>
        </w:rPr>
        <w:t>”</w:t>
      </w:r>
      <w:r>
        <w:rPr>
          <w:u w:color="4687FF"/>
        </w:rPr>
        <w:t>?  What are the greatest impediments you have found in helping the students and faculty you work with to do the work of integration?</w:t>
      </w: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 xml:space="preserve">3. </w:t>
      </w:r>
      <w:r>
        <w:rPr>
          <w:u w:color="4687FF"/>
        </w:rPr>
        <w:t xml:space="preserve">In your experience on campus with GFM, how have you (students/faculty chapter) approached integration of faith, learning and practice? What have you tried? What </w:t>
      </w:r>
      <w:r>
        <w:rPr>
          <w:u w:color="4687FF"/>
        </w:rPr>
        <w:t>“</w:t>
      </w:r>
      <w:r>
        <w:rPr>
          <w:u w:color="4687FF"/>
        </w:rPr>
        <w:t>best practices</w:t>
      </w:r>
      <w:r>
        <w:rPr>
          <w:u w:color="4687FF"/>
        </w:rPr>
        <w:t xml:space="preserve">” </w:t>
      </w:r>
      <w:r>
        <w:rPr>
          <w:u w:color="4687FF"/>
        </w:rPr>
        <w:t>have you discovered? What did you learn from what didn</w:t>
      </w:r>
      <w:r>
        <w:rPr>
          <w:u w:color="4687FF"/>
          <w:lang w:val="fr-FR"/>
        </w:rPr>
        <w:t>’</w:t>
      </w:r>
      <w:r>
        <w:rPr>
          <w:u w:color="4687FF"/>
        </w:rPr>
        <w:t>t work?</w:t>
      </w: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4. What type</w:t>
      </w:r>
      <w:r>
        <w:rPr>
          <w:u w:color="4687FF"/>
        </w:rPr>
        <w:t>s of questions have you used to encourage conversations in your chapter or with individual students/faculty around integration of faith learning and practice?</w:t>
      </w: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b/>
          <w:bCs/>
          <w:u w:color="4687FF"/>
        </w:rPr>
      </w:pPr>
      <w:r>
        <w:rPr>
          <w:b/>
          <w:bCs/>
          <w:u w:color="4687FF"/>
        </w:rPr>
        <w:t>Details:  3 rounds of conversation; 20 minutes per round.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Round 1: discuss questions 1 and 2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Round 2: share highlights from round 1 with your new group, discuss questions 1 and 2 a bit more, and start discussing question 3.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Round 3: share highlights from round 2 with your new group, and discuss questions 3 and 4.</w:t>
      </w: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For each round: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numPr>
          <w:ilvl w:val="0"/>
          <w:numId w:val="2"/>
        </w:numPr>
        <w:rPr>
          <w:position w:val="-2"/>
          <w:u w:color="4687FF"/>
        </w:rPr>
      </w:pPr>
      <w:r>
        <w:rPr>
          <w:u w:color="4687FF"/>
        </w:rPr>
        <w:t xml:space="preserve">Each person </w:t>
      </w:r>
      <w:r>
        <w:rPr>
          <w:u w:color="4687FF"/>
        </w:rPr>
        <w:t>takes a turn being the talker.</w:t>
      </w:r>
    </w:p>
    <w:p w:rsidR="00C9107B" w:rsidRDefault="000C0BA5">
      <w:pPr>
        <w:pStyle w:val="Default"/>
        <w:numPr>
          <w:ilvl w:val="0"/>
          <w:numId w:val="3"/>
        </w:numPr>
        <w:rPr>
          <w:position w:val="-2"/>
          <w:u w:color="4687FF"/>
        </w:rPr>
      </w:pPr>
      <w:r>
        <w:rPr>
          <w:u w:color="4687FF"/>
        </w:rPr>
        <w:t>The other three people serve as listeners.</w:t>
      </w:r>
    </w:p>
    <w:p w:rsidR="00C9107B" w:rsidRDefault="000C0BA5">
      <w:pPr>
        <w:pStyle w:val="Default"/>
        <w:numPr>
          <w:ilvl w:val="0"/>
          <w:numId w:val="4"/>
        </w:numPr>
        <w:rPr>
          <w:position w:val="-2"/>
          <w:u w:color="4687FF"/>
        </w:rPr>
      </w:pPr>
      <w:r>
        <w:rPr>
          <w:u w:color="4687FF"/>
        </w:rPr>
        <w:t>After each person in the group has had an opportunity to respond to the question/s, take the rest of the time for group discussion.</w:t>
      </w: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b/>
          <w:bCs/>
          <w:u w:color="4687FF"/>
        </w:rPr>
      </w:pPr>
    </w:p>
    <w:p w:rsidR="00C9107B" w:rsidRDefault="000C0BA5">
      <w:pPr>
        <w:pStyle w:val="Default"/>
        <w:rPr>
          <w:b/>
          <w:bCs/>
          <w:u w:color="4687FF"/>
        </w:rPr>
      </w:pPr>
      <w:r>
        <w:rPr>
          <w:b/>
          <w:bCs/>
          <w:u w:color="4687FF"/>
          <w:lang w:val="nl-NL"/>
        </w:rPr>
        <w:t>World Cafe Guidelines: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Speak with your mind a</w:t>
      </w:r>
      <w:r>
        <w:rPr>
          <w:u w:color="4687FF"/>
        </w:rPr>
        <w:t>nd heart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Contribute your thinking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Focus on what matters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Listen to understand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Have fun!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Play</w:t>
      </w:r>
      <w:r>
        <w:rPr>
          <w:u w:color="4687FF"/>
        </w:rPr>
        <w:t xml:space="preserve">… </w:t>
      </w:r>
      <w:r>
        <w:rPr>
          <w:u w:color="4687FF"/>
        </w:rPr>
        <w:t>draw</w:t>
      </w:r>
      <w:r>
        <w:rPr>
          <w:u w:color="4687FF"/>
        </w:rPr>
        <w:t xml:space="preserve">… </w:t>
      </w:r>
      <w:r>
        <w:rPr>
          <w:u w:color="4687FF"/>
          <w:lang w:val="nl-NL"/>
        </w:rPr>
        <w:t>doodle</w:t>
      </w:r>
      <w:r>
        <w:rPr>
          <w:u w:color="4687FF"/>
        </w:rPr>
        <w:t>…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Listen together for patterns, insights, and deeper connections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Link and connect ideas</w:t>
      </w: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  <w:rPr>
          <w:u w:color="4687FF"/>
        </w:rPr>
      </w:pPr>
      <w:r>
        <w:rPr>
          <w:u w:color="4687FF"/>
        </w:rPr>
        <w:t>Slow down</w:t>
      </w:r>
      <w:r>
        <w:rPr>
          <w:u w:color="4687FF"/>
        </w:rPr>
        <w:t xml:space="preserve">… </w:t>
      </w:r>
      <w:r>
        <w:rPr>
          <w:u w:color="4687FF"/>
        </w:rPr>
        <w:t>so you have time to think and reflect.</w:t>
      </w: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b/>
          <w:bCs/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C9107B">
      <w:pPr>
        <w:pStyle w:val="Default"/>
        <w:rPr>
          <w:u w:color="4687FF"/>
        </w:rPr>
      </w:pPr>
    </w:p>
    <w:p w:rsidR="00C9107B" w:rsidRDefault="000C0BA5">
      <w:pPr>
        <w:pStyle w:val="Default"/>
      </w:pPr>
      <w:r>
        <w:rPr>
          <w:u w:color="4687FF"/>
        </w:rPr>
        <w:t xml:space="preserve"> </w:t>
      </w:r>
    </w:p>
    <w:sectPr w:rsidR="00C9107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BA5" w:rsidRDefault="000C0BA5">
      <w:r>
        <w:separator/>
      </w:r>
    </w:p>
  </w:endnote>
  <w:endnote w:type="continuationSeparator" w:id="0">
    <w:p w:rsidR="000C0BA5" w:rsidRDefault="000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7B" w:rsidRDefault="00C910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BA5" w:rsidRDefault="000C0BA5">
      <w:r>
        <w:separator/>
      </w:r>
    </w:p>
  </w:footnote>
  <w:footnote w:type="continuationSeparator" w:id="0">
    <w:p w:rsidR="000C0BA5" w:rsidRDefault="000C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7B" w:rsidRDefault="00C910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A45FC"/>
    <w:multiLevelType w:val="multilevel"/>
    <w:tmpl w:val="2A20608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color="4687FF"/>
        <w:rtl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color="4687FF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color="4687FF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color="4687FF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color="4687FF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color="4687FF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color="4687FF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color="4687FF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color="4687FF"/>
        <w:rtl w:val="0"/>
      </w:rPr>
    </w:lvl>
  </w:abstractNum>
  <w:abstractNum w:abstractNumId="1" w15:restartNumberingAfterBreak="0">
    <w:nsid w:val="54E92FDD"/>
    <w:multiLevelType w:val="multilevel"/>
    <w:tmpl w:val="E752D5C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color="4687FF"/>
        <w:rtl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color="4687FF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color="4687FF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color="4687FF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color="4687FF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color="4687FF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color="4687FF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color="4687FF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color="4687FF"/>
        <w:rtl w:val="0"/>
      </w:rPr>
    </w:lvl>
  </w:abstractNum>
  <w:abstractNum w:abstractNumId="2" w15:restartNumberingAfterBreak="0">
    <w:nsid w:val="5A9C6F06"/>
    <w:multiLevelType w:val="multilevel"/>
    <w:tmpl w:val="F74A718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color="4687FF"/>
        <w:rtl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color="4687FF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color="4687FF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color="4687FF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color="4687FF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color="4687FF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color="4687FF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color="4687FF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color="4687FF"/>
        <w:rtl w:val="0"/>
      </w:rPr>
    </w:lvl>
  </w:abstractNum>
  <w:abstractNum w:abstractNumId="3" w15:restartNumberingAfterBreak="0">
    <w:nsid w:val="682B785C"/>
    <w:multiLevelType w:val="multilevel"/>
    <w:tmpl w:val="52F8520C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color="4687FF"/>
        <w:rtl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color="4687FF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color="4687FF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color="4687FF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color="4687FF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color="4687FF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color="4687FF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color="4687FF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color="4687FF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7B"/>
    <w:rsid w:val="000C0BA5"/>
    <w:rsid w:val="00650B8A"/>
    <w:rsid w:val="00C9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C7BFE4-1C40-4997-BBFA-1B114611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Lorrey Thabet</dc:creator>
  <cp:lastModifiedBy>Lorrey Thabet</cp:lastModifiedBy>
  <cp:revision>2</cp:revision>
  <dcterms:created xsi:type="dcterms:W3CDTF">2016-04-25T20:40:00Z</dcterms:created>
  <dcterms:modified xsi:type="dcterms:W3CDTF">2016-04-25T20:40:00Z</dcterms:modified>
</cp:coreProperties>
</file>